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EF6" w:rsidRPr="00591EF6" w:rsidRDefault="00591EF6" w:rsidP="00591EF6">
      <w:pPr>
        <w:ind w:right="204"/>
        <w:rPr>
          <w:rFonts w:ascii="Arial" w:eastAsia="Arial" w:hAnsi="Arial" w:cs="Arial"/>
          <w:b/>
        </w:rPr>
      </w:pPr>
      <w:r w:rsidRPr="00DE2C0A">
        <w:rPr>
          <w:rFonts w:ascii="Arial" w:eastAsia="Arial" w:hAnsi="Arial" w:cs="Arial"/>
          <w:b/>
        </w:rPr>
        <w:t xml:space="preserve">Investment </w:t>
      </w:r>
      <w:r>
        <w:rPr>
          <w:rFonts w:ascii="Arial" w:eastAsia="Arial" w:hAnsi="Arial" w:cs="Arial"/>
          <w:b/>
        </w:rPr>
        <w:t>Policy</w:t>
      </w:r>
      <w:bookmarkStart w:id="0" w:name="_GoBack"/>
      <w:bookmarkEnd w:id="0"/>
    </w:p>
    <w:p w:rsidR="00591EF6" w:rsidRPr="00DE2C0A" w:rsidRDefault="00591EF6" w:rsidP="00591EF6">
      <w:pPr>
        <w:rPr>
          <w:rFonts w:ascii="Arial" w:eastAsia="Times New Roman" w:hAnsi="Arial" w:cs="Arial"/>
          <w:i/>
        </w:rPr>
      </w:pPr>
      <w:r w:rsidRPr="00DE2C0A">
        <w:rPr>
          <w:rFonts w:ascii="Arial" w:eastAsia="Times New Roman" w:hAnsi="Arial" w:cs="Arial"/>
          <w:i/>
        </w:rPr>
        <w:t>Background</w:t>
      </w:r>
    </w:p>
    <w:p w:rsidR="00591EF6" w:rsidRPr="00DE2C0A" w:rsidRDefault="00591EF6" w:rsidP="00591EF6">
      <w:pPr>
        <w:rPr>
          <w:rFonts w:ascii="Arial" w:eastAsia="Times New Roman" w:hAnsi="Arial" w:cs="Arial"/>
        </w:rPr>
      </w:pPr>
      <w:r w:rsidRPr="00DE2C0A">
        <w:rPr>
          <w:rFonts w:ascii="Arial" w:eastAsia="Times New Roman" w:hAnsi="Arial" w:cs="Arial"/>
        </w:rPr>
        <w:t xml:space="preserve">The </w:t>
      </w:r>
      <w:r w:rsidRPr="00DE2C0A">
        <w:rPr>
          <w:rFonts w:ascii="Arial" w:eastAsia="Times New Roman" w:hAnsi="Arial" w:cs="Arial"/>
          <w:i/>
        </w:rPr>
        <w:t>Trustee Act</w:t>
      </w:r>
      <w:r w:rsidRPr="00DE2C0A">
        <w:rPr>
          <w:rFonts w:ascii="Arial" w:eastAsia="Times New Roman" w:hAnsi="Arial" w:cs="Arial"/>
        </w:rPr>
        <w:t xml:space="preserve"> requires that if investment decisions are delegated by the Board of Directors, an investment policy must be in place. This policy articulates the investment goals, objectives and constraints of The Vitanova Foundation and is to be followed whether such investments are managed internally (by senior staff) or externally (by an investment manager). In addition, an investment policy provides distinct benefits:</w:t>
      </w:r>
    </w:p>
    <w:p w:rsidR="00591EF6" w:rsidRPr="00DE2C0A" w:rsidRDefault="00591EF6" w:rsidP="00591EF6">
      <w:pPr>
        <w:pStyle w:val="ListParagraph"/>
        <w:numPr>
          <w:ilvl w:val="0"/>
          <w:numId w:val="1"/>
        </w:numPr>
        <w:rPr>
          <w:rFonts w:ascii="Arial" w:eastAsia="Times New Roman" w:hAnsi="Arial" w:cs="Arial"/>
        </w:rPr>
      </w:pPr>
      <w:r w:rsidRPr="00DE2C0A">
        <w:rPr>
          <w:rFonts w:ascii="Arial" w:eastAsia="Times New Roman" w:hAnsi="Arial" w:cs="Arial"/>
        </w:rPr>
        <w:t xml:space="preserve">It can provide the </w:t>
      </w:r>
      <w:proofErr w:type="gramStart"/>
      <w:r w:rsidRPr="00DE2C0A">
        <w:rPr>
          <w:rFonts w:ascii="Arial" w:eastAsia="Times New Roman" w:hAnsi="Arial" w:cs="Arial"/>
        </w:rPr>
        <w:t>Board  with</w:t>
      </w:r>
      <w:proofErr w:type="gramEnd"/>
      <w:r w:rsidRPr="00DE2C0A">
        <w:rPr>
          <w:rFonts w:ascii="Arial" w:eastAsia="Times New Roman" w:hAnsi="Arial" w:cs="Arial"/>
        </w:rPr>
        <w:t xml:space="preserve"> protection from personal liability in the event a loss occurs, if such a loss resulted from the Board relying on the policy for the investment of trust property, and the policy was such that a prudent investor would adopt under similar circumstances (</w:t>
      </w:r>
      <w:r w:rsidRPr="00DE2C0A">
        <w:rPr>
          <w:rFonts w:ascii="Arial" w:eastAsia="Times New Roman" w:hAnsi="Arial" w:cs="Arial"/>
          <w:i/>
        </w:rPr>
        <w:t>Trustee Act</w:t>
      </w:r>
      <w:r w:rsidRPr="00DE2C0A">
        <w:rPr>
          <w:rFonts w:ascii="Arial" w:eastAsia="Times New Roman" w:hAnsi="Arial" w:cs="Arial"/>
        </w:rPr>
        <w:t>, sect. 28)</w:t>
      </w:r>
    </w:p>
    <w:p w:rsidR="00591EF6" w:rsidRPr="00DE2C0A" w:rsidRDefault="00591EF6" w:rsidP="00591EF6">
      <w:pPr>
        <w:pStyle w:val="ListParagraph"/>
        <w:numPr>
          <w:ilvl w:val="0"/>
          <w:numId w:val="1"/>
        </w:numPr>
        <w:rPr>
          <w:rFonts w:ascii="Arial" w:eastAsia="Times New Roman" w:hAnsi="Arial" w:cs="Arial"/>
        </w:rPr>
      </w:pPr>
      <w:r w:rsidRPr="00DE2C0A">
        <w:rPr>
          <w:rFonts w:ascii="Arial" w:eastAsia="Times New Roman" w:hAnsi="Arial" w:cs="Arial"/>
        </w:rPr>
        <w:t xml:space="preserve">It can ensure that the Board has addressed the statutory requirements to comply with the investment criteria set out in the </w:t>
      </w:r>
      <w:r w:rsidRPr="00DE2C0A">
        <w:rPr>
          <w:rFonts w:ascii="Arial" w:eastAsia="Times New Roman" w:hAnsi="Arial" w:cs="Arial"/>
          <w:i/>
        </w:rPr>
        <w:t>Trustee Act</w:t>
      </w:r>
      <w:r w:rsidRPr="00DE2C0A">
        <w:rPr>
          <w:rFonts w:ascii="Arial" w:eastAsia="Times New Roman" w:hAnsi="Arial" w:cs="Arial"/>
        </w:rPr>
        <w:t>, as well as the related statutory requirements regarding diversification of investments.</w:t>
      </w:r>
    </w:p>
    <w:p w:rsidR="00591EF6" w:rsidRPr="00591EF6" w:rsidRDefault="00591EF6" w:rsidP="00591EF6">
      <w:pPr>
        <w:pStyle w:val="ListParagraph"/>
        <w:numPr>
          <w:ilvl w:val="0"/>
          <w:numId w:val="1"/>
        </w:numPr>
        <w:rPr>
          <w:rFonts w:ascii="Arial" w:eastAsia="Times New Roman" w:hAnsi="Arial" w:cs="Arial"/>
        </w:rPr>
      </w:pPr>
      <w:r w:rsidRPr="00DE2C0A">
        <w:rPr>
          <w:rFonts w:ascii="Arial" w:eastAsia="Times New Roman" w:hAnsi="Arial" w:cs="Arial"/>
        </w:rPr>
        <w:t>It can provide guidance to an external investment manager</w:t>
      </w:r>
      <w:r w:rsidRPr="00591EF6">
        <w:rPr>
          <w:vanish/>
          <w:color w:val="000000"/>
          <w:lang w:eastAsia="en-CA"/>
        </w:rPr>
        <w:t>Bottom of Form</w:t>
      </w:r>
    </w:p>
    <w:p w:rsidR="00591EF6" w:rsidRPr="00591EF6" w:rsidRDefault="00591EF6" w:rsidP="00591EF6">
      <w:pPr>
        <w:textAlignment w:val="baseline"/>
        <w:rPr>
          <w:rFonts w:ascii="Arial" w:eastAsia="Times New Roman" w:hAnsi="Arial" w:cs="Arial"/>
          <w:i/>
          <w:color w:val="000000"/>
          <w:lang w:eastAsia="en-CA"/>
        </w:rPr>
      </w:pPr>
      <w:r w:rsidRPr="00AB5E42">
        <w:rPr>
          <w:rFonts w:ascii="Arial" w:eastAsia="Times New Roman" w:hAnsi="Arial" w:cs="Arial"/>
          <w:i/>
          <w:color w:val="000000"/>
          <w:lang w:eastAsia="en-CA"/>
        </w:rPr>
        <w:t>Investment Authority</w:t>
      </w:r>
    </w:p>
    <w:p w:rsidR="00591EF6" w:rsidRPr="00DE2C0A" w:rsidRDefault="00591EF6" w:rsidP="00591EF6">
      <w:pPr>
        <w:textAlignment w:val="baseline"/>
        <w:rPr>
          <w:rFonts w:ascii="Arial" w:eastAsia="Times New Roman" w:hAnsi="Arial" w:cs="Arial"/>
          <w:color w:val="000000"/>
          <w:lang w:eastAsia="en-CA"/>
        </w:rPr>
      </w:pPr>
      <w:r w:rsidRPr="00DE2C0A">
        <w:rPr>
          <w:rFonts w:ascii="Arial" w:eastAsia="Times New Roman" w:hAnsi="Arial" w:cs="Arial"/>
          <w:color w:val="000000"/>
          <w:lang w:eastAsia="en-CA"/>
        </w:rPr>
        <w:t xml:space="preserve">The Vitanova Foundation is a non-profit organization, incorporated under the Ontario Corporations Act (to be replaced by the Ontario Not for Profit Corporations Act, once proclaimed). Vitanova is also a charitable organization registered by the Canadian Revenue Agency (Reg. no. 124239054 RR0001).  The power of its Board to invest is set forth in two places: </w:t>
      </w:r>
    </w:p>
    <w:p w:rsidR="00591EF6" w:rsidRPr="00591EF6" w:rsidRDefault="00591EF6" w:rsidP="00591EF6">
      <w:pPr>
        <w:pStyle w:val="ListParagraph"/>
        <w:numPr>
          <w:ilvl w:val="0"/>
          <w:numId w:val="2"/>
        </w:numPr>
        <w:jc w:val="both"/>
        <w:textAlignment w:val="baseline"/>
        <w:rPr>
          <w:rFonts w:ascii="Arial" w:eastAsia="Times New Roman" w:hAnsi="Arial" w:cs="Arial"/>
          <w:color w:val="000000"/>
          <w:lang w:eastAsia="en-CA"/>
        </w:rPr>
      </w:pPr>
      <w:r w:rsidRPr="00DE2C0A">
        <w:rPr>
          <w:rFonts w:ascii="Arial" w:eastAsia="Times New Roman" w:hAnsi="Arial" w:cs="Arial"/>
          <w:color w:val="000000"/>
          <w:lang w:eastAsia="en-CA"/>
        </w:rPr>
        <w:t xml:space="preserve">Letters Patent: </w:t>
      </w:r>
      <w:r w:rsidRPr="00DE2C0A">
        <w:rPr>
          <w:rFonts w:ascii="Arial" w:eastAsia="Times New Roman" w:hAnsi="Arial" w:cs="Arial"/>
          <w:i/>
          <w:color w:val="000000"/>
          <w:lang w:eastAsia="en-CA"/>
        </w:rPr>
        <w:t>To invest and reinvest the funds of the corporation in such manner as determined by the directors, and in making such investments, the directors shall not be limited to investments authorized by law for trustees, provided such investments are reasonable, prudent, and sagacious under the circumstances and do not constitute, either directly or indirectly, a conflict of interest.</w:t>
      </w:r>
      <w:r w:rsidRPr="00DE2C0A">
        <w:rPr>
          <w:rFonts w:ascii="Arial" w:eastAsia="Times New Roman" w:hAnsi="Arial" w:cs="Arial"/>
          <w:color w:val="000000"/>
          <w:lang w:eastAsia="en-CA"/>
        </w:rPr>
        <w:t xml:space="preserve"> </w:t>
      </w:r>
    </w:p>
    <w:p w:rsidR="00591EF6" w:rsidRPr="00591EF6" w:rsidRDefault="00591EF6" w:rsidP="00591EF6">
      <w:pPr>
        <w:pStyle w:val="ListParagraph"/>
        <w:numPr>
          <w:ilvl w:val="0"/>
          <w:numId w:val="2"/>
        </w:numPr>
        <w:rPr>
          <w:rFonts w:ascii="Arial" w:eastAsia="Times New Roman" w:hAnsi="Arial" w:cs="Arial"/>
        </w:rPr>
      </w:pPr>
      <w:r w:rsidRPr="00DE2C0A">
        <w:rPr>
          <w:rFonts w:ascii="Arial" w:eastAsia="Times New Roman" w:hAnsi="Arial" w:cs="Arial"/>
        </w:rPr>
        <w:t xml:space="preserve">By-Law: </w:t>
      </w:r>
      <w:r w:rsidRPr="00DE2C0A">
        <w:rPr>
          <w:rFonts w:ascii="Arial" w:eastAsia="Times New Roman" w:hAnsi="Arial" w:cs="Arial"/>
          <w:i/>
        </w:rPr>
        <w:t>The Board may invest in any investments which are authorized by the Corporation’s investment policy,</w:t>
      </w:r>
      <w:r w:rsidRPr="00DE2C0A">
        <w:rPr>
          <w:rFonts w:ascii="Arial" w:eastAsia="Times New Roman" w:hAnsi="Arial" w:cs="Arial"/>
          <w:i/>
          <w:color w:val="FF0000"/>
        </w:rPr>
        <w:t xml:space="preserve"> </w:t>
      </w:r>
      <w:r w:rsidRPr="00DE2C0A">
        <w:rPr>
          <w:rFonts w:ascii="Arial" w:eastAsia="Times New Roman" w:hAnsi="Arial" w:cs="Arial"/>
          <w:i/>
          <w:color w:val="000000"/>
        </w:rPr>
        <w:t>as approved by the Board.</w:t>
      </w:r>
      <w:r w:rsidRPr="00DE2C0A">
        <w:rPr>
          <w:rFonts w:ascii="Arial" w:eastAsia="Times New Roman" w:hAnsi="Arial" w:cs="Arial"/>
        </w:rPr>
        <w:t xml:space="preserve"> </w:t>
      </w:r>
    </w:p>
    <w:p w:rsidR="00591EF6" w:rsidRPr="00591EF6" w:rsidRDefault="00591EF6" w:rsidP="00591EF6">
      <w:pPr>
        <w:rPr>
          <w:rFonts w:ascii="Arial" w:eastAsia="Times New Roman" w:hAnsi="Arial" w:cs="Arial"/>
          <w:bCs/>
          <w:i/>
          <w:lang w:eastAsia="en-CA"/>
        </w:rPr>
      </w:pPr>
      <w:r w:rsidRPr="00DE2C0A">
        <w:rPr>
          <w:rFonts w:ascii="Arial" w:eastAsia="Times New Roman" w:hAnsi="Arial" w:cs="Arial"/>
          <w:bCs/>
          <w:i/>
          <w:lang w:eastAsia="en-CA"/>
        </w:rPr>
        <w:t>Investment Goals</w:t>
      </w:r>
    </w:p>
    <w:p w:rsidR="00591EF6" w:rsidRPr="00DE2C0A" w:rsidRDefault="00591EF6" w:rsidP="00591EF6">
      <w:pPr>
        <w:pStyle w:val="ListParagraph"/>
        <w:numPr>
          <w:ilvl w:val="0"/>
          <w:numId w:val="3"/>
        </w:numPr>
        <w:rPr>
          <w:rFonts w:ascii="Arial" w:eastAsia="Times New Roman" w:hAnsi="Arial" w:cs="Arial"/>
          <w:lang w:eastAsia="en-CA"/>
        </w:rPr>
      </w:pPr>
      <w:r w:rsidRPr="00DE2C0A">
        <w:rPr>
          <w:rFonts w:ascii="Arial" w:eastAsia="Times New Roman" w:hAnsi="Arial" w:cs="Arial"/>
          <w:lang w:eastAsia="en-CA"/>
        </w:rPr>
        <w:t>To maintain sufficient liquidity to meet all spending requirements as they arise</w:t>
      </w:r>
    </w:p>
    <w:p w:rsidR="00591EF6" w:rsidRPr="00DE2C0A" w:rsidRDefault="00591EF6" w:rsidP="00591EF6">
      <w:pPr>
        <w:pStyle w:val="ListParagraph"/>
        <w:numPr>
          <w:ilvl w:val="0"/>
          <w:numId w:val="3"/>
        </w:numPr>
        <w:rPr>
          <w:rFonts w:ascii="Arial" w:eastAsia="Times New Roman" w:hAnsi="Arial" w:cs="Arial"/>
          <w:lang w:eastAsia="en-CA"/>
        </w:rPr>
      </w:pPr>
      <w:r w:rsidRPr="00DE2C0A">
        <w:rPr>
          <w:rFonts w:ascii="Arial" w:eastAsia="Times New Roman" w:hAnsi="Arial" w:cs="Arial"/>
          <w:lang w:eastAsia="en-CA"/>
        </w:rPr>
        <w:t>To provide sufficient capital growth over time to preserve the purchasing power of the Foundation.</w:t>
      </w:r>
    </w:p>
    <w:p w:rsidR="00591EF6" w:rsidRPr="00591EF6" w:rsidRDefault="00591EF6" w:rsidP="00591EF6">
      <w:pPr>
        <w:pStyle w:val="ListParagraph"/>
        <w:numPr>
          <w:ilvl w:val="0"/>
          <w:numId w:val="3"/>
        </w:numPr>
        <w:rPr>
          <w:rFonts w:ascii="Arial" w:eastAsia="Times New Roman" w:hAnsi="Arial" w:cs="Arial"/>
          <w:lang w:eastAsia="en-CA"/>
        </w:rPr>
      </w:pPr>
      <w:r w:rsidRPr="00DE2C0A">
        <w:rPr>
          <w:rFonts w:ascii="Arial" w:eastAsia="Times New Roman" w:hAnsi="Arial" w:cs="Arial"/>
          <w:lang w:eastAsia="en-CA"/>
        </w:rPr>
        <w:t>To optimize the total return with due regard to both objectives and constraints</w:t>
      </w:r>
    </w:p>
    <w:p w:rsidR="00591EF6" w:rsidRPr="00DE2C0A" w:rsidRDefault="00591EF6" w:rsidP="00591EF6">
      <w:pPr>
        <w:textAlignment w:val="baseline"/>
        <w:rPr>
          <w:rFonts w:ascii="Arial" w:eastAsia="Times New Roman" w:hAnsi="Arial" w:cs="Arial"/>
          <w:bCs/>
          <w:i/>
          <w:lang w:eastAsia="en-CA"/>
        </w:rPr>
      </w:pPr>
      <w:r w:rsidRPr="00DE2C0A">
        <w:rPr>
          <w:rFonts w:ascii="Arial" w:eastAsia="Times New Roman" w:hAnsi="Arial" w:cs="Arial"/>
          <w:bCs/>
          <w:i/>
          <w:lang w:eastAsia="en-CA"/>
        </w:rPr>
        <w:t>Investment Objectives</w:t>
      </w:r>
    </w:p>
    <w:p w:rsidR="00591EF6" w:rsidRPr="00DE2C0A" w:rsidRDefault="00591EF6" w:rsidP="00591EF6">
      <w:pPr>
        <w:textAlignment w:val="baseline"/>
        <w:rPr>
          <w:rFonts w:ascii="Arial" w:eastAsia="Times New Roman" w:hAnsi="Arial" w:cs="Arial"/>
          <w:bCs/>
          <w:lang w:eastAsia="en-CA"/>
        </w:rPr>
      </w:pPr>
      <w:r w:rsidRPr="00DE2C0A">
        <w:rPr>
          <w:rFonts w:ascii="Arial" w:eastAsia="Times New Roman" w:hAnsi="Arial" w:cs="Arial"/>
          <w:bCs/>
          <w:lang w:eastAsia="en-CA"/>
        </w:rPr>
        <w:t>The Vitanova Foundation shall:</w:t>
      </w:r>
    </w:p>
    <w:p w:rsidR="00591EF6" w:rsidRPr="00DE2C0A" w:rsidRDefault="00591EF6" w:rsidP="00591EF6">
      <w:pPr>
        <w:textAlignment w:val="baseline"/>
        <w:rPr>
          <w:rFonts w:ascii="Arial" w:eastAsia="Times New Roman" w:hAnsi="Arial" w:cs="Arial"/>
          <w:bCs/>
          <w:lang w:eastAsia="en-CA"/>
        </w:rPr>
      </w:pPr>
    </w:p>
    <w:p w:rsidR="00591EF6" w:rsidRPr="00591EF6" w:rsidRDefault="00591EF6" w:rsidP="00591EF6">
      <w:pPr>
        <w:pStyle w:val="ListParagraph"/>
        <w:numPr>
          <w:ilvl w:val="0"/>
          <w:numId w:val="4"/>
        </w:numPr>
        <w:textAlignment w:val="baseline"/>
        <w:rPr>
          <w:rFonts w:ascii="Arial" w:eastAsia="Times New Roman" w:hAnsi="Arial" w:cs="Arial"/>
          <w:lang w:eastAsia="en-CA"/>
        </w:rPr>
      </w:pPr>
      <w:r w:rsidRPr="00DE2C0A">
        <w:rPr>
          <w:rFonts w:ascii="Arial" w:eastAsia="Times New Roman" w:hAnsi="Arial" w:cs="Arial"/>
          <w:bCs/>
          <w:lang w:eastAsia="en-CA"/>
        </w:rPr>
        <w:lastRenderedPageBreak/>
        <w:t xml:space="preserve">Make </w:t>
      </w:r>
      <w:r w:rsidRPr="00DE2C0A">
        <w:rPr>
          <w:rFonts w:ascii="Arial" w:eastAsia="Times New Roman" w:hAnsi="Arial" w:cs="Arial"/>
          <w:lang w:eastAsia="en-CA"/>
        </w:rPr>
        <w:t>all investment decisions subject to applicable laws, as well as the Letters Patent and By-laws of the Foundation</w:t>
      </w:r>
    </w:p>
    <w:p w:rsidR="00591EF6" w:rsidRPr="00591EF6" w:rsidRDefault="00591EF6" w:rsidP="00591EF6">
      <w:pPr>
        <w:pStyle w:val="ListParagraph"/>
        <w:numPr>
          <w:ilvl w:val="0"/>
          <w:numId w:val="4"/>
        </w:numPr>
        <w:textAlignment w:val="baseline"/>
        <w:rPr>
          <w:rFonts w:ascii="Arial" w:eastAsia="Times New Roman" w:hAnsi="Arial" w:cs="Arial"/>
          <w:lang w:eastAsia="en-CA"/>
        </w:rPr>
      </w:pPr>
      <w:r w:rsidRPr="00DE2C0A">
        <w:rPr>
          <w:rFonts w:ascii="Arial" w:eastAsia="Times New Roman" w:hAnsi="Arial" w:cs="Arial"/>
          <w:lang w:eastAsia="en-CA"/>
        </w:rPr>
        <w:t xml:space="preserve">Manage a diversity of investments with the care, skill, diligence and judgment that a prudent investor would exercise in making investments, having regard to the seven criteria set forth in the </w:t>
      </w:r>
      <w:r w:rsidRPr="00DE2C0A">
        <w:rPr>
          <w:rFonts w:ascii="Arial" w:eastAsia="Times New Roman" w:hAnsi="Arial" w:cs="Arial"/>
          <w:i/>
          <w:lang w:eastAsia="en-CA"/>
        </w:rPr>
        <w:t>Trustee Act</w:t>
      </w:r>
      <w:r w:rsidRPr="00DE2C0A">
        <w:rPr>
          <w:rFonts w:ascii="Arial" w:eastAsia="Times New Roman" w:hAnsi="Arial" w:cs="Arial"/>
          <w:lang w:eastAsia="en-CA"/>
        </w:rPr>
        <w:t>, namely:</w:t>
      </w:r>
    </w:p>
    <w:p w:rsidR="00591EF6" w:rsidRPr="00AB5E42" w:rsidRDefault="00591EF6" w:rsidP="00591EF6">
      <w:pPr>
        <w:pStyle w:val="ListParagraph"/>
        <w:numPr>
          <w:ilvl w:val="0"/>
          <w:numId w:val="6"/>
        </w:numPr>
        <w:ind w:left="720"/>
        <w:textAlignment w:val="baseline"/>
        <w:rPr>
          <w:rFonts w:ascii="Arial" w:eastAsia="Times New Roman" w:hAnsi="Arial" w:cs="Arial"/>
          <w:lang w:eastAsia="en-CA"/>
        </w:rPr>
      </w:pPr>
      <w:r w:rsidRPr="00DE2C0A">
        <w:rPr>
          <w:rFonts w:ascii="Arial" w:eastAsia="Times New Roman" w:hAnsi="Arial" w:cs="Arial"/>
          <w:bCs/>
          <w:i/>
          <w:lang w:eastAsia="en-CA"/>
        </w:rPr>
        <w:t>General Economic Conditions</w:t>
      </w:r>
      <w:r w:rsidRPr="00DE2C0A">
        <w:rPr>
          <w:rFonts w:ascii="Arial" w:eastAsia="Times New Roman" w:hAnsi="Arial" w:cs="Arial"/>
          <w:b/>
          <w:bCs/>
          <w:lang w:eastAsia="en-CA"/>
        </w:rPr>
        <w:t xml:space="preserve">: </w:t>
      </w:r>
      <w:r w:rsidRPr="00DE2C0A">
        <w:rPr>
          <w:rFonts w:ascii="Arial" w:eastAsia="Times New Roman" w:hAnsi="Arial" w:cs="Arial"/>
          <w:lang w:eastAsia="en-CA"/>
        </w:rPr>
        <w:t>In light of the long-term horizon and specified liquidity needs of the Foundation, investments should be selected on the basis of a low level of risk.</w:t>
      </w:r>
    </w:p>
    <w:p w:rsidR="00591EF6" w:rsidRPr="00AB5E42" w:rsidRDefault="00591EF6" w:rsidP="00591EF6">
      <w:pPr>
        <w:pStyle w:val="ListParagraph"/>
        <w:numPr>
          <w:ilvl w:val="0"/>
          <w:numId w:val="6"/>
        </w:numPr>
        <w:ind w:left="720"/>
        <w:textAlignment w:val="baseline"/>
        <w:rPr>
          <w:rFonts w:ascii="Arial" w:eastAsia="Times New Roman" w:hAnsi="Arial" w:cs="Arial"/>
          <w:lang w:eastAsia="en-CA"/>
        </w:rPr>
      </w:pPr>
      <w:r w:rsidRPr="00DE2C0A">
        <w:rPr>
          <w:rFonts w:ascii="Arial" w:eastAsia="Times New Roman" w:hAnsi="Arial" w:cs="Arial"/>
          <w:bCs/>
          <w:i/>
          <w:lang w:eastAsia="en-CA"/>
        </w:rPr>
        <w:t>Possible Effect of Inflation or Deflation</w:t>
      </w:r>
      <w:r w:rsidRPr="00DE2C0A">
        <w:rPr>
          <w:rFonts w:ascii="Arial" w:eastAsia="Times New Roman" w:hAnsi="Arial" w:cs="Arial"/>
          <w:i/>
          <w:lang w:eastAsia="en-CA"/>
        </w:rPr>
        <w:t>:</w:t>
      </w:r>
      <w:r w:rsidRPr="00DE2C0A">
        <w:rPr>
          <w:rFonts w:ascii="Arial" w:eastAsia="Times New Roman" w:hAnsi="Arial" w:cs="Arial"/>
          <w:lang w:eastAsia="en-CA"/>
        </w:rPr>
        <w:t xml:space="preserve"> When possible, investment income equal to the rate of inflation should be retained each year and reinvested to prevent erosion of purchasing power over time.</w:t>
      </w:r>
    </w:p>
    <w:p w:rsidR="00591EF6" w:rsidRPr="00AB5E42" w:rsidRDefault="00591EF6" w:rsidP="00591EF6">
      <w:pPr>
        <w:pStyle w:val="ListParagraph"/>
        <w:numPr>
          <w:ilvl w:val="0"/>
          <w:numId w:val="6"/>
        </w:numPr>
        <w:ind w:left="720"/>
        <w:textAlignment w:val="baseline"/>
        <w:rPr>
          <w:rFonts w:ascii="Arial" w:eastAsia="Times New Roman" w:hAnsi="Arial" w:cs="Arial"/>
          <w:lang w:eastAsia="en-CA"/>
        </w:rPr>
      </w:pPr>
      <w:r w:rsidRPr="00DE2C0A">
        <w:rPr>
          <w:rFonts w:ascii="Arial" w:eastAsia="Times New Roman" w:hAnsi="Arial" w:cs="Arial"/>
          <w:bCs/>
          <w:i/>
          <w:lang w:eastAsia="en-CA"/>
        </w:rPr>
        <w:t>The Expected Tax Consequences of Investment Decisions or Strategies</w:t>
      </w:r>
      <w:r w:rsidRPr="00DE2C0A">
        <w:rPr>
          <w:rFonts w:ascii="Arial" w:eastAsia="Times New Roman" w:hAnsi="Arial" w:cs="Arial"/>
          <w:lang w:eastAsia="en-CA"/>
        </w:rPr>
        <w:t>: A higher level of fixed income investments should be maintained than would be the case for a taxable account with a similar risk tolerance.</w:t>
      </w:r>
    </w:p>
    <w:p w:rsidR="00591EF6" w:rsidRPr="00AB5E42" w:rsidRDefault="00591EF6" w:rsidP="00591EF6">
      <w:pPr>
        <w:pStyle w:val="ListParagraph"/>
        <w:numPr>
          <w:ilvl w:val="0"/>
          <w:numId w:val="6"/>
        </w:numPr>
        <w:ind w:left="720"/>
        <w:textAlignment w:val="baseline"/>
        <w:rPr>
          <w:rFonts w:ascii="Arial" w:eastAsia="Times New Roman" w:hAnsi="Arial" w:cs="Arial"/>
          <w:lang w:eastAsia="en-CA"/>
        </w:rPr>
      </w:pPr>
      <w:r w:rsidRPr="00DE2C0A">
        <w:rPr>
          <w:rFonts w:ascii="Arial" w:eastAsia="Times New Roman" w:hAnsi="Arial" w:cs="Arial"/>
          <w:bCs/>
          <w:i/>
          <w:lang w:eastAsia="en-CA"/>
        </w:rPr>
        <w:t>The Role that Each Investment (Asset Class) or Course of Action plays within the Portfolio</w:t>
      </w:r>
      <w:r w:rsidRPr="00DE2C0A">
        <w:rPr>
          <w:rFonts w:ascii="Arial" w:eastAsia="Times New Roman" w:hAnsi="Arial" w:cs="Arial"/>
          <w:i/>
          <w:lang w:eastAsia="en-CA"/>
        </w:rPr>
        <w:t>:</w:t>
      </w:r>
      <w:r w:rsidRPr="00DE2C0A">
        <w:rPr>
          <w:rFonts w:ascii="Arial" w:eastAsia="Times New Roman" w:hAnsi="Arial" w:cs="Arial"/>
          <w:lang w:eastAsia="en-CA"/>
        </w:rPr>
        <w:t xml:space="preserve"> Investment asset selection should be co-ordinated with the Foundation’s needs for liquidity, regularity of income and capital preservation or appreciation. The need for re-balancing of the investment portfolio should be assessed annually at a minimum.</w:t>
      </w:r>
    </w:p>
    <w:p w:rsidR="00591EF6" w:rsidRPr="00AB5E42" w:rsidRDefault="00591EF6" w:rsidP="00591EF6">
      <w:pPr>
        <w:pStyle w:val="ListParagraph"/>
        <w:numPr>
          <w:ilvl w:val="0"/>
          <w:numId w:val="6"/>
        </w:numPr>
        <w:ind w:left="720"/>
        <w:textAlignment w:val="baseline"/>
        <w:rPr>
          <w:rFonts w:ascii="Arial" w:eastAsia="Times New Roman" w:hAnsi="Arial" w:cs="Arial"/>
          <w:lang w:eastAsia="en-CA"/>
        </w:rPr>
      </w:pPr>
      <w:r w:rsidRPr="00DE2C0A">
        <w:rPr>
          <w:rFonts w:ascii="Arial" w:eastAsia="Times New Roman" w:hAnsi="Arial" w:cs="Arial"/>
          <w:bCs/>
          <w:i/>
          <w:lang w:eastAsia="en-CA"/>
        </w:rPr>
        <w:t>The Expected Total Return from Income and the Appreciation of Capital</w:t>
      </w:r>
      <w:r w:rsidRPr="00DE2C0A">
        <w:rPr>
          <w:rFonts w:ascii="Arial" w:eastAsia="Times New Roman" w:hAnsi="Arial" w:cs="Arial"/>
          <w:i/>
          <w:lang w:eastAsia="en-CA"/>
        </w:rPr>
        <w:t>:</w:t>
      </w:r>
      <w:r w:rsidRPr="00DE2C0A">
        <w:rPr>
          <w:rFonts w:ascii="Arial" w:eastAsia="Times New Roman" w:hAnsi="Arial" w:cs="Arial"/>
          <w:lang w:eastAsia="en-CA"/>
        </w:rPr>
        <w:t xml:space="preserve"> The annual budgeting process for the Foundation, including a forecast of cash requirements, will include a report on investment outcomes and projections.</w:t>
      </w:r>
    </w:p>
    <w:p w:rsidR="00591EF6" w:rsidRPr="00AB5E42" w:rsidRDefault="00591EF6" w:rsidP="00591EF6">
      <w:pPr>
        <w:pStyle w:val="ListParagraph"/>
        <w:numPr>
          <w:ilvl w:val="0"/>
          <w:numId w:val="6"/>
        </w:numPr>
        <w:ind w:left="720"/>
        <w:textAlignment w:val="baseline"/>
        <w:rPr>
          <w:rFonts w:ascii="Arial" w:eastAsia="Times New Roman" w:hAnsi="Arial" w:cs="Arial"/>
          <w:lang w:eastAsia="en-CA"/>
        </w:rPr>
      </w:pPr>
      <w:r w:rsidRPr="00DE2C0A">
        <w:rPr>
          <w:rFonts w:ascii="Arial" w:eastAsia="Times New Roman" w:hAnsi="Arial" w:cs="Arial"/>
          <w:bCs/>
          <w:i/>
          <w:lang w:eastAsia="en-CA"/>
        </w:rPr>
        <w:t xml:space="preserve">Needs for Liquidity, Regularity of Income and Preservation or Appreciation of Capital: </w:t>
      </w:r>
      <w:r w:rsidRPr="00DE2C0A">
        <w:rPr>
          <w:rFonts w:ascii="Arial" w:eastAsia="Times New Roman" w:hAnsi="Arial" w:cs="Arial"/>
          <w:lang w:eastAsia="en-CA"/>
        </w:rPr>
        <w:t>to ensure liquidity, regularity of incomes, and to prevent the erosion of the investment capital and protect the future well-being of the Foundation, the Foundation should try to ensure to the extent possible that the market value of the investments appreciate in an amount at least equal to inflation over the long term.</w:t>
      </w:r>
    </w:p>
    <w:p w:rsidR="00591EF6" w:rsidRPr="00591EF6" w:rsidRDefault="00591EF6" w:rsidP="00591EF6">
      <w:pPr>
        <w:pStyle w:val="ListParagraph"/>
        <w:numPr>
          <w:ilvl w:val="0"/>
          <w:numId w:val="6"/>
        </w:numPr>
        <w:ind w:left="720"/>
        <w:textAlignment w:val="baseline"/>
        <w:rPr>
          <w:rFonts w:ascii="Arial" w:eastAsia="Times New Roman" w:hAnsi="Arial" w:cs="Arial"/>
          <w:lang w:eastAsia="en-CA"/>
        </w:rPr>
      </w:pPr>
      <w:r w:rsidRPr="00DE2C0A">
        <w:rPr>
          <w:rFonts w:ascii="Arial" w:eastAsia="Times New Roman" w:hAnsi="Arial" w:cs="Arial"/>
          <w:bCs/>
          <w:i/>
          <w:lang w:eastAsia="en-CA"/>
        </w:rPr>
        <w:t>An Asset’s Special Relationship/Special Value, if any, to the Purposes of the Charity</w:t>
      </w:r>
      <w:r w:rsidRPr="00DE2C0A">
        <w:rPr>
          <w:rFonts w:ascii="Arial" w:eastAsia="Times New Roman" w:hAnsi="Arial" w:cs="Arial"/>
          <w:i/>
          <w:lang w:eastAsia="en-CA"/>
        </w:rPr>
        <w:t>:</w:t>
      </w:r>
      <w:r w:rsidRPr="00DE2C0A">
        <w:rPr>
          <w:rFonts w:ascii="Arial" w:eastAsia="Times New Roman" w:hAnsi="Arial" w:cs="Arial"/>
          <w:lang w:eastAsia="en-CA"/>
        </w:rPr>
        <w:t xml:space="preserve"> The Foundation will segregate all assets where there is a special relationship or special value and consider these assets separately from those assets where there are no such special requirements. An annual review of these assets, including a third-party appraisal if required, should be undertaken to ensure that the sentimental value is still valid.</w:t>
      </w:r>
    </w:p>
    <w:p w:rsidR="00591EF6" w:rsidRPr="00591EF6" w:rsidRDefault="00591EF6" w:rsidP="00591EF6">
      <w:pPr>
        <w:pStyle w:val="ListParagraph"/>
        <w:numPr>
          <w:ilvl w:val="0"/>
          <w:numId w:val="5"/>
        </w:numPr>
        <w:textAlignment w:val="baseline"/>
        <w:rPr>
          <w:rFonts w:ascii="Arial" w:eastAsia="Times New Roman" w:hAnsi="Arial" w:cs="Arial"/>
          <w:bCs/>
          <w:lang w:eastAsia="en-CA"/>
        </w:rPr>
      </w:pPr>
      <w:r w:rsidRPr="00DE2C0A">
        <w:rPr>
          <w:rFonts w:ascii="Arial" w:eastAsia="Times New Roman" w:hAnsi="Arial" w:cs="Arial"/>
          <w:bCs/>
          <w:lang w:eastAsia="en-CA"/>
        </w:rPr>
        <w:t xml:space="preserve">Retain an Investment Advisor/Counsellor: When the total of sums to be invested exceeds $50,000 and provided </w:t>
      </w:r>
      <w:r w:rsidRPr="00DE2C0A">
        <w:rPr>
          <w:rFonts w:ascii="Arial" w:eastAsia="Times New Roman" w:hAnsi="Arial" w:cs="Arial"/>
          <w:lang w:eastAsia="en-CA"/>
        </w:rPr>
        <w:t>the additional income and/or growth anticipated to be earned as a result of the advice is expected to more than offset the cost of such advice, the Board may choose to s</w:t>
      </w:r>
      <w:r w:rsidRPr="00DE2C0A">
        <w:rPr>
          <w:rFonts w:ascii="Arial" w:eastAsia="Times New Roman" w:hAnsi="Arial" w:cs="Arial"/>
          <w:bCs/>
          <w:lang w:eastAsia="en-CA"/>
        </w:rPr>
        <w:t xml:space="preserve">eek prudent investment advice from an investment counsellor with knowledge of charity law and trust law who is confirmed as registered with the Ontario Securities Commission and who declares he/she is not subject to any conflicts of interest, </w:t>
      </w:r>
      <w:r w:rsidRPr="00DE2C0A">
        <w:rPr>
          <w:rFonts w:ascii="Arial" w:eastAsia="Times New Roman" w:hAnsi="Arial" w:cs="Arial"/>
          <w:lang w:eastAsia="en-CA"/>
        </w:rPr>
        <w:t>The choice of investment counsellor shall be subject to Board approval.</w:t>
      </w:r>
    </w:p>
    <w:p w:rsidR="00591EF6" w:rsidRPr="00591EF6" w:rsidRDefault="00591EF6" w:rsidP="00591EF6">
      <w:pPr>
        <w:pStyle w:val="ListParagraph"/>
        <w:numPr>
          <w:ilvl w:val="0"/>
          <w:numId w:val="7"/>
        </w:numPr>
        <w:textAlignment w:val="baseline"/>
        <w:rPr>
          <w:rFonts w:ascii="Arial" w:eastAsia="Times New Roman" w:hAnsi="Arial" w:cs="Arial"/>
          <w:lang w:eastAsia="en-CA"/>
        </w:rPr>
      </w:pPr>
      <w:r w:rsidRPr="00DE2C0A">
        <w:rPr>
          <w:rFonts w:ascii="Arial" w:eastAsia="Times New Roman" w:hAnsi="Arial" w:cs="Arial"/>
          <w:lang w:eastAsia="en-CA"/>
        </w:rPr>
        <w:t>Retain any investments in a safe and secure place</w:t>
      </w:r>
      <w:r w:rsidRPr="00DE2C0A">
        <w:rPr>
          <w:rFonts w:ascii="Arial" w:eastAsia="Times New Roman" w:hAnsi="Arial" w:cs="Arial"/>
          <w:b/>
          <w:bCs/>
          <w:lang w:eastAsia="en-CA"/>
        </w:rPr>
        <w:t xml:space="preserve"> </w:t>
      </w:r>
    </w:p>
    <w:p w:rsidR="00591EF6" w:rsidRPr="00591EF6" w:rsidRDefault="00591EF6" w:rsidP="00591EF6">
      <w:pPr>
        <w:textAlignment w:val="baseline"/>
        <w:rPr>
          <w:rFonts w:ascii="Arial" w:eastAsia="Times New Roman" w:hAnsi="Arial" w:cs="Arial"/>
          <w:i/>
          <w:lang w:eastAsia="en-CA"/>
        </w:rPr>
      </w:pPr>
      <w:r w:rsidRPr="00DE2C0A">
        <w:rPr>
          <w:rFonts w:ascii="Arial" w:eastAsia="Times New Roman" w:hAnsi="Arial" w:cs="Arial"/>
          <w:bCs/>
          <w:i/>
          <w:lang w:eastAsia="en-CA"/>
        </w:rPr>
        <w:t>Constraints</w:t>
      </w:r>
    </w:p>
    <w:p w:rsidR="00591EF6" w:rsidRDefault="00591EF6" w:rsidP="00591EF6">
      <w:pPr>
        <w:textAlignment w:val="baseline"/>
        <w:rPr>
          <w:rFonts w:ascii="Arial" w:eastAsia="Times New Roman" w:hAnsi="Arial" w:cs="Arial"/>
          <w:lang w:eastAsia="en-CA"/>
        </w:rPr>
      </w:pPr>
      <w:r w:rsidRPr="00DE2C0A">
        <w:rPr>
          <w:rFonts w:ascii="Arial" w:eastAsia="Times New Roman" w:hAnsi="Arial" w:cs="Arial"/>
          <w:lang w:eastAsia="en-CA"/>
        </w:rPr>
        <w:t>The</w:t>
      </w:r>
      <w:r>
        <w:rPr>
          <w:rFonts w:ascii="Arial" w:eastAsia="Times New Roman" w:hAnsi="Arial" w:cs="Arial"/>
          <w:lang w:eastAsia="en-CA"/>
        </w:rPr>
        <w:t xml:space="preserve"> Vitanova Foundation shall not:</w:t>
      </w:r>
    </w:p>
    <w:p w:rsidR="00591EF6" w:rsidRPr="00591EF6" w:rsidRDefault="00591EF6" w:rsidP="00591EF6">
      <w:pPr>
        <w:pStyle w:val="ListParagraph"/>
        <w:numPr>
          <w:ilvl w:val="0"/>
          <w:numId w:val="7"/>
        </w:numPr>
        <w:textAlignment w:val="baseline"/>
        <w:rPr>
          <w:rFonts w:ascii="Arial" w:eastAsia="Times New Roman" w:hAnsi="Arial" w:cs="Arial"/>
          <w:lang w:eastAsia="en-CA"/>
        </w:rPr>
      </w:pPr>
      <w:r w:rsidRPr="00591EF6">
        <w:rPr>
          <w:rFonts w:ascii="Arial" w:eastAsia="Times New Roman" w:hAnsi="Arial" w:cs="Arial"/>
          <w:lang w:eastAsia="en-CA"/>
        </w:rPr>
        <w:lastRenderedPageBreak/>
        <w:t>Ac</w:t>
      </w:r>
      <w:r w:rsidRPr="00591EF6">
        <w:rPr>
          <w:rFonts w:ascii="Arial" w:eastAsia="Times New Roman" w:hAnsi="Arial" w:cs="Arial"/>
          <w:lang w:eastAsia="en-CA"/>
        </w:rPr>
        <w:t>cept donations subject to any restrictions on the part of the donor if the Foundation is unable to comply with such restrictions</w:t>
      </w:r>
    </w:p>
    <w:p w:rsidR="00591EF6" w:rsidRPr="00DE2C0A" w:rsidRDefault="00591EF6" w:rsidP="00591EF6">
      <w:pPr>
        <w:pStyle w:val="ListParagraph"/>
        <w:numPr>
          <w:ilvl w:val="0"/>
          <w:numId w:val="7"/>
        </w:numPr>
        <w:textAlignment w:val="baseline"/>
        <w:rPr>
          <w:rFonts w:ascii="Arial" w:eastAsia="Times New Roman" w:hAnsi="Arial" w:cs="Arial"/>
          <w:lang w:eastAsia="en-CA"/>
        </w:rPr>
      </w:pPr>
      <w:r w:rsidRPr="00DE2C0A">
        <w:rPr>
          <w:rFonts w:ascii="Arial" w:eastAsia="Times New Roman" w:hAnsi="Arial" w:cs="Arial"/>
          <w:lang w:eastAsia="en-CA"/>
        </w:rPr>
        <w:t xml:space="preserve">Commingle funds that are subject to restrictions with general funds, except as allowed under the </w:t>
      </w:r>
      <w:r w:rsidRPr="00DE2C0A">
        <w:rPr>
          <w:rFonts w:ascii="Arial" w:eastAsia="Times New Roman" w:hAnsi="Arial" w:cs="Arial"/>
          <w:i/>
          <w:lang w:eastAsia="en-CA"/>
        </w:rPr>
        <w:t>Charities Accounting Act</w:t>
      </w:r>
      <w:r w:rsidRPr="00DE2C0A">
        <w:rPr>
          <w:rFonts w:ascii="Arial" w:eastAsia="Times New Roman" w:hAnsi="Arial" w:cs="Arial"/>
          <w:lang w:eastAsia="en-CA"/>
        </w:rPr>
        <w:t xml:space="preserve"> </w:t>
      </w:r>
    </w:p>
    <w:p w:rsidR="00591EF6" w:rsidRPr="00DE2C0A" w:rsidRDefault="00591EF6" w:rsidP="00591EF6">
      <w:pPr>
        <w:pStyle w:val="ListParagraph"/>
        <w:numPr>
          <w:ilvl w:val="0"/>
          <w:numId w:val="7"/>
        </w:numPr>
        <w:textAlignment w:val="baseline"/>
        <w:rPr>
          <w:rFonts w:ascii="Arial" w:eastAsia="Times New Roman" w:hAnsi="Arial" w:cs="Arial"/>
          <w:lang w:eastAsia="en-CA"/>
        </w:rPr>
      </w:pPr>
      <w:r w:rsidRPr="00DE2C0A">
        <w:rPr>
          <w:rFonts w:ascii="Arial" w:eastAsia="Times New Roman" w:hAnsi="Arial" w:cs="Arial"/>
          <w:lang w:eastAsia="en-CA"/>
        </w:rPr>
        <w:t xml:space="preserve"> Hold land not used for charitable purposes, as stipulated in the </w:t>
      </w:r>
      <w:r w:rsidRPr="00DE2C0A">
        <w:rPr>
          <w:rFonts w:ascii="Arial" w:eastAsia="Times New Roman" w:hAnsi="Arial" w:cs="Arial"/>
          <w:bCs/>
          <w:i/>
          <w:lang w:eastAsia="en-CA"/>
        </w:rPr>
        <w:t>Charities Accounting Act</w:t>
      </w:r>
    </w:p>
    <w:p w:rsidR="00591EF6" w:rsidRPr="00020175" w:rsidRDefault="00591EF6" w:rsidP="00591EF6">
      <w:pPr>
        <w:pStyle w:val="ListParagraph"/>
        <w:numPr>
          <w:ilvl w:val="0"/>
          <w:numId w:val="7"/>
        </w:numPr>
        <w:textAlignment w:val="baseline"/>
        <w:rPr>
          <w:rFonts w:ascii="Arial" w:eastAsia="Times New Roman" w:hAnsi="Arial" w:cs="Arial"/>
          <w:lang w:eastAsia="en-CA"/>
        </w:rPr>
      </w:pPr>
      <w:r w:rsidRPr="00DE2C0A">
        <w:rPr>
          <w:rFonts w:ascii="Arial" w:eastAsia="Times New Roman" w:hAnsi="Arial" w:cs="Arial"/>
          <w:lang w:eastAsia="en-CA"/>
        </w:rPr>
        <w:t xml:space="preserve">Own more than 10% of any business, as stipulated in the </w:t>
      </w:r>
      <w:r w:rsidRPr="00DE2C0A">
        <w:rPr>
          <w:rFonts w:ascii="Arial" w:eastAsia="Times New Roman" w:hAnsi="Arial" w:cs="Arial"/>
          <w:i/>
          <w:lang w:eastAsia="en-CA"/>
        </w:rPr>
        <w:t xml:space="preserve">Ontario Charitable Gifts Act </w:t>
      </w:r>
    </w:p>
    <w:p w:rsidR="007C58D3" w:rsidRDefault="007C58D3"/>
    <w:sectPr w:rsidR="007C58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F7939"/>
    <w:multiLevelType w:val="hybridMultilevel"/>
    <w:tmpl w:val="F54E3F3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F9332C0"/>
    <w:multiLevelType w:val="hybridMultilevel"/>
    <w:tmpl w:val="6B005674"/>
    <w:lvl w:ilvl="0" w:tplc="10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5D14401"/>
    <w:multiLevelType w:val="hybridMultilevel"/>
    <w:tmpl w:val="27C28EC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4DB67FC3"/>
    <w:multiLevelType w:val="hybridMultilevel"/>
    <w:tmpl w:val="5CF69CD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72284918"/>
    <w:multiLevelType w:val="hybridMultilevel"/>
    <w:tmpl w:val="10F0488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75B61571"/>
    <w:multiLevelType w:val="hybridMultilevel"/>
    <w:tmpl w:val="9658313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7F924F07"/>
    <w:multiLevelType w:val="hybridMultilevel"/>
    <w:tmpl w:val="B38CB6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3"/>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EF6"/>
    <w:rsid w:val="00591EF6"/>
    <w:rsid w:val="007C58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A3326"/>
  <w15:chartTrackingRefBased/>
  <w15:docId w15:val="{C8E73448-22F2-4576-95DA-87607F256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1EF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E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Carella</dc:creator>
  <cp:keywords/>
  <dc:description/>
  <cp:lastModifiedBy>Tony Carella</cp:lastModifiedBy>
  <cp:revision>1</cp:revision>
  <dcterms:created xsi:type="dcterms:W3CDTF">2022-02-18T18:54:00Z</dcterms:created>
  <dcterms:modified xsi:type="dcterms:W3CDTF">2022-02-18T18:57:00Z</dcterms:modified>
</cp:coreProperties>
</file>